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D537" w14:textId="00E69860" w:rsidR="00594D11" w:rsidRDefault="00000000">
      <w:pPr>
        <w:spacing w:line="360" w:lineRule="auto"/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3B049405" w14:textId="77777777" w:rsidR="00594D11" w:rsidRPr="00F73CC7" w:rsidRDefault="00000000">
      <w:pPr>
        <w:spacing w:line="360" w:lineRule="auto"/>
        <w:jc w:val="center"/>
        <w:rPr>
          <w:rFonts w:ascii="Times New Roman" w:eastAsia="方正公文黑体" w:hAnsi="Times New Roman" w:cs="Times New Roman"/>
          <w:bCs/>
          <w:sz w:val="36"/>
          <w:szCs w:val="36"/>
        </w:rPr>
      </w:pPr>
      <w:r w:rsidRPr="00F73CC7">
        <w:rPr>
          <w:rFonts w:ascii="Times New Roman" w:eastAsia="方正公文黑体" w:hAnsi="Times New Roman" w:cs="Times New Roman"/>
          <w:bCs/>
          <w:sz w:val="36"/>
          <w:szCs w:val="36"/>
        </w:rPr>
        <w:t>中国食品发酵工业研究院与京东集团</w:t>
      </w:r>
    </w:p>
    <w:p w14:paraId="39AF532B" w14:textId="77777777" w:rsidR="00594D11" w:rsidRPr="00F73CC7" w:rsidRDefault="00000000">
      <w:pPr>
        <w:spacing w:line="360" w:lineRule="auto"/>
        <w:jc w:val="center"/>
        <w:rPr>
          <w:rFonts w:ascii="Times New Roman" w:eastAsia="方正公文黑体" w:hAnsi="Times New Roman" w:cs="Times New Roman"/>
          <w:bCs/>
          <w:sz w:val="36"/>
          <w:szCs w:val="36"/>
        </w:rPr>
      </w:pPr>
      <w:r w:rsidRPr="00F73CC7">
        <w:rPr>
          <w:rFonts w:ascii="Times New Roman" w:eastAsia="方正公文黑体" w:hAnsi="Times New Roman" w:cs="Times New Roman"/>
          <w:bCs/>
          <w:sz w:val="36"/>
          <w:szCs w:val="36"/>
        </w:rPr>
        <w:t>关于共建京东商城低</w:t>
      </w:r>
      <w:r w:rsidRPr="00F73CC7">
        <w:rPr>
          <w:rFonts w:ascii="Times New Roman" w:eastAsia="方正公文黑体" w:hAnsi="Times New Roman" w:cs="Times New Roman"/>
          <w:bCs/>
          <w:sz w:val="36"/>
          <w:szCs w:val="36"/>
        </w:rPr>
        <w:t>GI</w:t>
      </w:r>
      <w:r w:rsidRPr="00F73CC7">
        <w:rPr>
          <w:rFonts w:ascii="Times New Roman" w:eastAsia="方正公文黑体" w:hAnsi="Times New Roman" w:cs="Times New Roman"/>
          <w:bCs/>
          <w:sz w:val="36"/>
          <w:szCs w:val="36"/>
        </w:rPr>
        <w:t>食品专区的说明</w:t>
      </w:r>
    </w:p>
    <w:p w14:paraId="161659D0" w14:textId="77777777" w:rsidR="00594D11" w:rsidRDefault="00594D11">
      <w:pPr>
        <w:spacing w:line="360" w:lineRule="auto"/>
        <w:ind w:firstLineChars="200" w:firstLine="560"/>
        <w:rPr>
          <w:sz w:val="28"/>
          <w:szCs w:val="28"/>
        </w:rPr>
      </w:pPr>
    </w:p>
    <w:p w14:paraId="72803516" w14:textId="77777777" w:rsidR="00594D11" w:rsidRPr="005D7DC2" w:rsidRDefault="0000000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D7DC2">
        <w:rPr>
          <w:rFonts w:asciiTheme="minorEastAsia" w:eastAsiaTheme="minorEastAsia" w:hAnsiTheme="minorEastAsia" w:cs="Times New Roman"/>
          <w:sz w:val="28"/>
          <w:szCs w:val="28"/>
        </w:rPr>
        <w:t>在疫情当下，中国各界致力于推动经济持续复苏，健康产业成为经济发展新引擎、数字经济进入提速换代的关键期、扩大内需成为构建新发展格局的战略基点。</w:t>
      </w:r>
    </w:p>
    <w:p w14:paraId="3B81737F" w14:textId="77777777" w:rsidR="00594D11" w:rsidRPr="005D7DC2" w:rsidRDefault="0000000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D7DC2">
        <w:rPr>
          <w:rFonts w:asciiTheme="minorEastAsia" w:eastAsiaTheme="minorEastAsia" w:hAnsiTheme="minorEastAsia" w:cs="Times New Roman"/>
          <w:sz w:val="28"/>
          <w:szCs w:val="28"/>
        </w:rPr>
        <w:t>中国食品发酵工业研究院（以下简称“中食院”）依托“功能主食创制及慢病营养干预北京市重点实验室”（与中国医学科学院北京协和医院联合共建），长期从事食品的血糖生成指数（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）相关研究，2019年在澳大利亚悉尼大学及澳大利亚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基金会支持下，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中食院成立</w:t>
      </w:r>
      <w:proofErr w:type="gramEnd"/>
      <w:r w:rsidRPr="005D7DC2">
        <w:rPr>
          <w:rFonts w:asciiTheme="minorEastAsia" w:eastAsiaTheme="minorEastAsia" w:hAnsiTheme="minorEastAsia" w:cs="Times New Roman"/>
          <w:sz w:val="28"/>
          <w:szCs w:val="28"/>
        </w:rPr>
        <w:t>了国内首家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基金会认证的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国际联合研究与测试实验室。实验室主要围绕产品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测定、低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膳食研究、低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食品研发、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科普和低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食品消费指导等方面开展工作，合作的国内外知名企业达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余家。</w:t>
      </w:r>
    </w:p>
    <w:p w14:paraId="70389531" w14:textId="77777777" w:rsidR="00594D11" w:rsidRPr="005D7DC2" w:rsidRDefault="0000000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D7DC2">
        <w:rPr>
          <w:rFonts w:asciiTheme="minorEastAsia" w:eastAsiaTheme="minorEastAsia" w:hAnsiTheme="minorEastAsia" w:cs="Times New Roman"/>
          <w:sz w:val="28"/>
          <w:szCs w:val="28"/>
        </w:rPr>
        <w:t>京东集团作为中国互联网领域的龙头实体企业，面向人民生命健康、依托商业生态优势，汇集国内食品企业，充分利用自身供应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链优势</w:t>
      </w:r>
      <w:proofErr w:type="gramEnd"/>
      <w:r w:rsidRPr="005D7DC2">
        <w:rPr>
          <w:rFonts w:asciiTheme="minorEastAsia" w:eastAsiaTheme="minorEastAsia" w:hAnsiTheme="minorEastAsia" w:cs="Times New Roman"/>
          <w:sz w:val="28"/>
          <w:szCs w:val="28"/>
        </w:rPr>
        <w:t>资源，联合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中食院为</w:t>
      </w:r>
      <w:proofErr w:type="gramEnd"/>
      <w:r w:rsidRPr="005D7DC2">
        <w:rPr>
          <w:rFonts w:asciiTheme="minorEastAsia" w:eastAsiaTheme="minorEastAsia" w:hAnsiTheme="minorEastAsia" w:cs="Times New Roman"/>
          <w:sz w:val="28"/>
          <w:szCs w:val="28"/>
        </w:rPr>
        <w:t>社会打造“低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食品数字化服务平台”。在此平台上，双方联合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益欣康维</w:t>
      </w:r>
      <w:proofErr w:type="gramEnd"/>
      <w:r w:rsidRPr="005D7DC2">
        <w:rPr>
          <w:rFonts w:asciiTheme="minorEastAsia" w:eastAsiaTheme="minorEastAsia" w:hAnsiTheme="minorEastAsia" w:cs="Times New Roman"/>
          <w:sz w:val="28"/>
          <w:szCs w:val="28"/>
        </w:rPr>
        <w:t>智慧科技（北京）有限公司共同在京东商城建立“京东低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食品自营专区”，向市场推广保真可靠的低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食品，并提供市场流量加持。该专区由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中食院提供</w:t>
      </w:r>
      <w:proofErr w:type="gramEnd"/>
      <w:r w:rsidRPr="005D7DC2">
        <w:rPr>
          <w:rFonts w:asciiTheme="minorEastAsia" w:eastAsiaTheme="minorEastAsia" w:hAnsiTheme="minorEastAsia" w:cs="Times New Roman"/>
          <w:sz w:val="28"/>
          <w:szCs w:val="28"/>
        </w:rPr>
        <w:t>全方位的技术支持，包括专区产品的检测认证、专区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产品审核、专区产品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飞行检查、专区内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科普与宣贯等，并共同组织低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lastRenderedPageBreak/>
        <w:t>食品文化节、低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农产品与乡村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振兴低</w:t>
      </w:r>
      <w:proofErr w:type="gramEnd"/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食品与健康管理等多方面内容，共同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发起低</w:t>
      </w:r>
      <w:proofErr w:type="gramEnd"/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相关标准的制定，推动行业发展。</w:t>
      </w:r>
    </w:p>
    <w:p w14:paraId="45C072A2" w14:textId="7D5423B5" w:rsidR="00594D11" w:rsidRPr="005D7DC2" w:rsidRDefault="0000000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D7DC2">
        <w:rPr>
          <w:rFonts w:asciiTheme="minorEastAsia" w:eastAsiaTheme="minorEastAsia" w:hAnsiTheme="minorEastAsia" w:cs="Times New Roman"/>
          <w:sz w:val="28"/>
          <w:szCs w:val="28"/>
        </w:rPr>
        <w:t>“京东商城低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食品专区”符合国家健康产业政策、贯彻国家扩大内需战略、顺应国家数字经济发展趋势，同时有助于提升国民健康素养水平，</w:t>
      </w:r>
      <w:proofErr w:type="gramStart"/>
      <w:r w:rsidRPr="005D7DC2">
        <w:rPr>
          <w:rFonts w:asciiTheme="minorEastAsia" w:eastAsiaTheme="minorEastAsia" w:hAnsiTheme="minorEastAsia" w:cs="Times New Roman"/>
          <w:sz w:val="28"/>
          <w:szCs w:val="28"/>
        </w:rPr>
        <w:t>具备深远</w:t>
      </w:r>
      <w:proofErr w:type="gramEnd"/>
      <w:r w:rsidRPr="005D7DC2">
        <w:rPr>
          <w:rFonts w:asciiTheme="minorEastAsia" w:eastAsiaTheme="minorEastAsia" w:hAnsiTheme="minorEastAsia" w:cs="Times New Roman"/>
          <w:sz w:val="28"/>
          <w:szCs w:val="28"/>
        </w:rPr>
        <w:t>的社会效益和经济价值。诚挚邀请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产业相关企业积极参与京东商城低</w:t>
      </w:r>
      <w:r w:rsidRPr="005D7DC2"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5D7DC2">
        <w:rPr>
          <w:rFonts w:asciiTheme="minorEastAsia" w:eastAsiaTheme="minorEastAsia" w:hAnsiTheme="minorEastAsia" w:cs="Times New Roman"/>
          <w:sz w:val="28"/>
          <w:szCs w:val="28"/>
        </w:rPr>
        <w:t>食品专区的建设。</w:t>
      </w:r>
    </w:p>
    <w:p w14:paraId="1FEAE51F" w14:textId="77777777" w:rsidR="005D7DC2" w:rsidRPr="005D7DC2" w:rsidRDefault="005D7DC2" w:rsidP="005D7DC2">
      <w:pPr>
        <w:pStyle w:val="a0"/>
      </w:pPr>
    </w:p>
    <w:p w14:paraId="02FA982F" w14:textId="53047E52" w:rsidR="00594D11" w:rsidRPr="005D7DC2" w:rsidRDefault="00000000">
      <w:pPr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5D7DC2">
        <w:rPr>
          <w:rFonts w:ascii="Times New Roman" w:eastAsia="仿宋_GB2312" w:hAnsi="Times New Roman" w:cs="Times New Roman"/>
          <w:sz w:val="28"/>
          <w:szCs w:val="28"/>
        </w:rPr>
        <w:t>2022</w:t>
      </w:r>
      <w:r w:rsidRPr="005D7DC2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5D7DC2">
        <w:rPr>
          <w:rFonts w:ascii="Times New Roman" w:eastAsia="仿宋_GB2312" w:hAnsi="Times New Roman" w:cs="Times New Roman"/>
          <w:sz w:val="28"/>
          <w:szCs w:val="28"/>
        </w:rPr>
        <w:t>9</w:t>
      </w:r>
      <w:r w:rsidRPr="005D7DC2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5D7DC2">
        <w:rPr>
          <w:rFonts w:ascii="Times New Roman" w:eastAsia="仿宋_GB2312" w:hAnsi="Times New Roman" w:cs="Times New Roman"/>
          <w:sz w:val="28"/>
          <w:szCs w:val="28"/>
        </w:rPr>
        <w:t>1</w:t>
      </w:r>
      <w:r w:rsidR="005D7DC2">
        <w:rPr>
          <w:rFonts w:ascii="Times New Roman" w:eastAsia="仿宋_GB2312" w:hAnsi="Times New Roman" w:cs="Times New Roman"/>
          <w:sz w:val="28"/>
          <w:szCs w:val="28"/>
        </w:rPr>
        <w:t>9</w:t>
      </w:r>
      <w:r w:rsidRPr="005D7DC2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62ACE2B1" w14:textId="77777777" w:rsidR="00594D11" w:rsidRPr="00F73CC7" w:rsidRDefault="00594D11">
      <w:pPr>
        <w:pStyle w:val="a0"/>
        <w:spacing w:line="360" w:lineRule="auto"/>
        <w:ind w:firstLineChars="0" w:firstLine="0"/>
        <w:rPr>
          <w:rFonts w:ascii="Times New Roman" w:eastAsia="仿宋GB_2312" w:hAnsi="Times New Roman" w:cs="Times New Roman"/>
        </w:rPr>
      </w:pPr>
    </w:p>
    <w:sectPr w:rsidR="00594D11" w:rsidRPr="00F73CC7">
      <w:pgSz w:w="11906" w:h="16838"/>
      <w:pgMar w:top="1984" w:right="1361" w:bottom="170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84A70F2-47DA-4079-8E79-6844F3E28905}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GB_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E3CB1"/>
    <w:multiLevelType w:val="singleLevel"/>
    <w:tmpl w:val="98D3B7BE"/>
    <w:lvl w:ilvl="0">
      <w:start w:val="1"/>
      <w:numFmt w:val="decimal"/>
      <w:suff w:val="space"/>
      <w:lvlText w:val="%1."/>
      <w:lvlJc w:val="left"/>
    </w:lvl>
  </w:abstractNum>
  <w:num w:numId="1" w16cid:durableId="34297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11"/>
    <w:rsid w:val="00056EB7"/>
    <w:rsid w:val="00260C59"/>
    <w:rsid w:val="00431419"/>
    <w:rsid w:val="00594D11"/>
    <w:rsid w:val="005D7DC2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B490"/>
  <w15:docId w15:val="{D69DBD61-1509-4E4C-9A6D-05CA8636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line="560" w:lineRule="exact"/>
      <w:jc w:val="left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ab">
    <w:name w:val="机关标识"/>
    <w:basedOn w:val="a"/>
    <w:qFormat/>
    <w:pPr>
      <w:jc w:val="center"/>
    </w:pPr>
    <w:rPr>
      <w:rFonts w:ascii="Times New Roman" w:eastAsia="公文小标宋简" w:hAnsi="Times New Roman" w:cs="Times New Roman"/>
      <w:color w:val="FF0000"/>
      <w:sz w:val="52"/>
      <w:szCs w:val="2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郑骁阳</dc:creator>
  <cp:lastModifiedBy>jia liu</cp:lastModifiedBy>
  <cp:revision>2</cp:revision>
  <dcterms:created xsi:type="dcterms:W3CDTF">2022-09-19T06:10:00Z</dcterms:created>
  <dcterms:modified xsi:type="dcterms:W3CDTF">2022-09-19T06:10:00Z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F618327C12E847E8A76664276B5E02F6</vt:lpwstr>
  </property>
</Properties>
</file>